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BFBFBF" w:themeColor="background1" w:themeShade="BF"/>
  <w:body>
    <w:p>
      <w:pPr>
        <w:jc w:val="center"/>
        <w:rPr>
          <w:rFonts w:hint="eastAsia" w:ascii="仿宋_GB2312" w:eastAsia="仿宋_GB2312"/>
          <w:b w:val="0"/>
          <w:bCs/>
          <w:spacing w:val="12"/>
          <w:sz w:val="44"/>
          <w:szCs w:val="44"/>
          <w:lang w:val="zh-CN"/>
        </w:rPr>
      </w:pPr>
      <w:r>
        <w:rPr>
          <w:rFonts w:hint="eastAsia" w:ascii="仿宋_GB2312" w:eastAsia="仿宋_GB2312"/>
          <w:b w:val="0"/>
          <w:bCs/>
          <w:spacing w:val="12"/>
          <w:sz w:val="44"/>
          <w:szCs w:val="44"/>
          <w:lang w:val="zh-CN"/>
        </w:rPr>
        <w:t>2017年年度述职述廉述学总结</w:t>
      </w:r>
    </w:p>
    <w:p>
      <w:pPr>
        <w:jc w:val="center"/>
        <w:rPr>
          <w:rFonts w:hint="eastAsia" w:ascii="仿宋_GB2312" w:eastAsia="仿宋_GB2312"/>
          <w:b w:val="0"/>
          <w:bCs/>
          <w:spacing w:val="12"/>
          <w:sz w:val="32"/>
          <w:szCs w:val="32"/>
          <w:lang w:val="zh-CN"/>
        </w:rPr>
      </w:pPr>
    </w:p>
    <w:p>
      <w:pPr>
        <w:jc w:val="center"/>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河南省水文水资源局</w:t>
      </w:r>
    </w:p>
    <w:p>
      <w:pPr>
        <w:jc w:val="center"/>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王鸿杰</w:t>
      </w:r>
    </w:p>
    <w:p>
      <w:pPr>
        <w:jc w:val="center"/>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2018.1.2</w:t>
      </w:r>
    </w:p>
    <w:p>
      <w:pPr>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根据局领导班子分工，本人的岗位职责是负责全省水文发展战略和中长期规划、水文综合规划及专业规划；水文科研项目立项、鉴定、技术推广；拟定省水文规范、技术标准；水资源调查评价、水文分析计算；地下水监测站规划；水资源监控能力建设；系统及机关财务。分管计划财务处、水资源处及河南省水资源管理系统项目办。2017年4月，按照省委组织部的安排，抽调到省脱贫攻坚督查巡查组，开展脱贫攻坚督查巡查工作，督查区域为商丘市和永城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2017年，在厅党组及脱贫攻坚领导小组办公室的领导下，本人能紧紧围绕厅党组、省水文局党委及省脱贫攻坚领导小组办公室的工作部署，认真学习党的十八大、十九大和习近平总书记系列重要讲话精神，履行党员义务，改进工作作风，密切联系群众，与分管处室职工及督查巡查区域干部群众一道，抢抓机遇，开拓创新，扎实工作，圆满完成了水利厅、水文局及省脱贫攻坚领导小组办公室部署的各项目标任务。现将一年来政治学习、廉洁自律、党建及业务工作各方面情况汇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91" w:firstLineChars="200"/>
        <w:jc w:val="both"/>
        <w:textAlignment w:val="auto"/>
        <w:outlineLvl w:val="9"/>
        <w:rPr>
          <w:rFonts w:hint="eastAsia" w:ascii="仿宋_GB2312" w:eastAsia="仿宋_GB2312"/>
          <w:b/>
          <w:bCs w:val="0"/>
          <w:spacing w:val="12"/>
          <w:sz w:val="32"/>
          <w:szCs w:val="32"/>
          <w:lang w:val="zh-CN"/>
        </w:rPr>
      </w:pPr>
      <w:r>
        <w:rPr>
          <w:rFonts w:hint="eastAsia" w:ascii="仿宋_GB2312" w:eastAsia="仿宋_GB2312"/>
          <w:b/>
          <w:bCs w:val="0"/>
          <w:spacing w:val="12"/>
          <w:sz w:val="32"/>
          <w:szCs w:val="32"/>
          <w:lang w:val="zh-CN"/>
        </w:rPr>
        <w:t>一、加强政治理论学习，不断加强党性修养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积极主动参加十九大精神学习活动，认真听讲，深刻领会。这次大会回顾和总结党的十八大以来党和国家事业的历史性变革和成就，对中国特色社会主义进入了新时代、我国社会主要矛盾发生转化等重大问题做出了新的政治判断，深刻阐述新时代中国共产党的历史使命，确定新时代的奋斗目标和战略安排，对新时代推进中国特色社会主义伟大事业和党的建设作出全面部署。大会将习近平新时代中国特色社会主义思想写入党章，坚持党的指导思想与时俱进。党的十九大是一次不忘初心、牢记使命、高举旗帜、团结奋进的历史性盛会，极大地鼓舞了全党全国人民为实现中华民族伟大复兴的中国梦而奋斗的信心和力量。党的十九大把习近平新时代中国特色社会主义思想确立为党必须长期坚持的指导思想具有重大政治意义、理论意义、实践意义和深远历史意义。中国共产党人的初心和使命，就是为中国人民谋幸福，为中华民族谋复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始终坚持党性锻炼、加强党性修养，牢固树立正确的世界观、人生观、价值观，坚持四个自信，从思想深处解决信仰信念问题，自觉做政治上的明白人，始终在思想上、政治上、行动上与党中央保持高度一致，努力做一名对党忠诚、个人干净、敢于担当的合格共产党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通过一系列的学习，自身的政治原则、政治立场更加坚定，政治观点始终与党中央保持高度一致。严守政治纪律、政治规矩，坚决拥护党的基本路线、基本纲领，坚决贯彻执行党的路线、方针、政策。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在自己学习的同时，还根据省局党委“两学一做”学习教育的安排，结合商丘市脱贫攻坚工作，以“改进工作作风，密切联系群众，打赢商丘脱贫攻坚战”为题，到商丘水文局讲党课，与广大党员干部一起，学习领会脱贫攻坚有关政策及讲解商丘市脱贫攻坚开展情况，坚定打赢商丘脱贫攻坚战的决心和信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91" w:firstLineChars="200"/>
        <w:jc w:val="both"/>
        <w:textAlignment w:val="auto"/>
        <w:outlineLvl w:val="9"/>
        <w:rPr>
          <w:rFonts w:hint="eastAsia" w:ascii="仿宋_GB2312" w:eastAsia="仿宋_GB2312"/>
          <w:b/>
          <w:bCs w:val="0"/>
          <w:spacing w:val="12"/>
          <w:sz w:val="32"/>
          <w:szCs w:val="32"/>
          <w:lang w:val="zh-CN"/>
        </w:rPr>
      </w:pPr>
      <w:r>
        <w:rPr>
          <w:rFonts w:hint="eastAsia" w:ascii="仿宋_GB2312" w:eastAsia="仿宋_GB2312"/>
          <w:b/>
          <w:bCs w:val="0"/>
          <w:spacing w:val="12"/>
          <w:sz w:val="32"/>
          <w:szCs w:val="32"/>
          <w:lang w:val="zh-CN"/>
        </w:rPr>
        <w:t>二、廉洁从政，自觉树立良好的形象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督查巡查中严格执行中央八项规定和督查巡查各项纪律要求，不接受督查巡查地区的宴请、土特产和小礼品，不用基层人员放进房间的生活用品，按照督查巡查工作部署，在督查巡查工作中对问题敢于较真，对基层干群做到公正，自身做到廉洁自律，对督查巡查事项做到严格保密，树立了督查巡查人员的良好形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91" w:firstLineChars="200"/>
        <w:jc w:val="both"/>
        <w:textAlignment w:val="auto"/>
        <w:outlineLvl w:val="9"/>
        <w:rPr>
          <w:rFonts w:hint="eastAsia" w:ascii="仿宋_GB2312" w:eastAsia="仿宋_GB2312"/>
          <w:b/>
          <w:bCs w:val="0"/>
          <w:spacing w:val="12"/>
          <w:sz w:val="32"/>
          <w:szCs w:val="32"/>
          <w:lang w:val="zh-CN"/>
        </w:rPr>
      </w:pPr>
      <w:r>
        <w:rPr>
          <w:rFonts w:hint="eastAsia" w:ascii="仿宋_GB2312" w:eastAsia="仿宋_GB2312"/>
          <w:b/>
          <w:bCs w:val="0"/>
          <w:spacing w:val="12"/>
          <w:sz w:val="32"/>
          <w:szCs w:val="32"/>
          <w:lang w:val="zh-CN"/>
        </w:rPr>
        <w:t>三、尽职尽责，努力完成目标任务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1到4月份，组织水资源处及各局技术人员，完成了《国家地下水监测工程》河南省712眼井的水准点和固定点高程测量工作，测量成果符合规范要求，顺利通过水利部项目办组织的专家验收，进度和质量居全国前列。组织人员编制的《国家水资源监控能力建设项目河南省技术方案》（2016-2018），通过了水利部水资源监控能力建设领导小组项目办的技术复核，为水资源监控能力建设及时开工提供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激发广大技术人员的科研积极性，组织科技人员搞科研攻关，2017年有“河南省干旱动态监测评价与抗旱减灾关键技术与示范”等11项科技攻关课题在省水利厅立项，有一项成果获河南省科技进步三等奖，本人主持开展的“中小河流流量监测关键技术研究及应用”及其他两项成果分获省水利科技进步奖一、二等奖，有三项成果通过科技厅委托水利厅组织的专家验收。本人主持开展的“基于新安江模型的淮河上游土地利用变化的水土流失效应模拟研究”通过了水利厅组织的专家验收，研究成果达到国内领先水平。组织技术人员立项并编写了“河南省水资源数据整汇编技术标准”地方标准的编写，目前已经在网上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5-12月份，依次对商丘、永城、周口、驻马店、安阳、三门峡、洛阳7个市21个县进行专项督查巡查，核查评估，单方等工作，走乡113个，进村149个，入户500余户，发现问题142个，撰写专项督查巡查报告13份，下整改通知14份，切实履行督查巡查职责，督查巡查区域脱贫成效显著，出色完成了历次督查巡查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 xml:space="preserve">通过多轮督查巡查，商丘市实现了贫困户识别、退出零差错，做到了脱贫攻坚精准度、社会认同度、群众满意度明显提高。做到了真扶贫、扶真贫，把贫困户的贫困状况、贫困原因、脱贫需求、帮扶措施等情况摸清楚，并根据排查情况重新建档立卡，商丘市共普查了646723户2083567人，新识别贫困户29749户贫困人口62920人。各县（区）、乡（镇）还结合实际，依据贫困村现有资源、农民技能和意愿，宜农则农、宜工则工、宜商则商、宜游则游，寻找合适的扶贫产，截止 2017年12月底，商丘市实现108个贫困村退出、92976贫困人口稳定脱贫，完成年度脱贫目标任务。贫困村“九大工程”项目，竣工2478个，占计划的98%；新建扶贫车间1034个，占计划的100%；贫困户“六改工程”完成了158370户，占计划的99.9%。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91" w:firstLineChars="200"/>
        <w:jc w:val="both"/>
        <w:textAlignment w:val="auto"/>
        <w:outlineLvl w:val="9"/>
        <w:rPr>
          <w:rFonts w:hint="eastAsia" w:ascii="仿宋_GB2312" w:eastAsia="仿宋_GB2312"/>
          <w:b/>
          <w:bCs w:val="0"/>
          <w:spacing w:val="12"/>
          <w:sz w:val="32"/>
          <w:szCs w:val="32"/>
          <w:lang w:val="zh-CN"/>
        </w:rPr>
      </w:pPr>
      <w:bookmarkStart w:id="0" w:name="_GoBack"/>
      <w:r>
        <w:rPr>
          <w:rFonts w:hint="eastAsia" w:ascii="仿宋_GB2312" w:eastAsia="仿宋_GB2312"/>
          <w:b/>
          <w:bCs w:val="0"/>
          <w:spacing w:val="12"/>
          <w:sz w:val="32"/>
          <w:szCs w:val="32"/>
          <w:lang w:val="zh-CN"/>
        </w:rPr>
        <w:t>四、存在问题及整改措施</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一年来，督查巡查工作取得了一些实效，自己分管的业务工作也取得一点成绩，但还存在脱贫攻坚政策学习不透彻，与贫困户联系交流还不够深入，对贫困户的用语掌握不够准确，与西部山区的贫困户交流有时还存在困难；督查巡查缺乏工作主动性，一切按省脱贫攻坚领导小组办公室的批示办，自己不主动做一些开创性的工作；对脱贫攻坚工作中存在的深层次问题了解的不够透，缺乏创新意识，工作中有畏难情绪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对于自身存在的问题和不足，我要从现在做起，改作风、除毛病、树新风，以过硬的作风和坚强的党性，保持党的先进性和纯洁性，永葆共产党人的政治本色。今后还需要加强脱贫攻坚政策及要求的进一步学习，提升自己综合素质。树立正确的政绩观、权力观和世界观；正确认识和看待手中的权力，坚持秉公用权；牢记党的宗旨，不忘初心，一心为民，对贫困群众负责并自觉接受群众监督；要充分认识到执行党的纪律的重要和严肃性，时刻牢记自己共产党员的身份，旗帜鲜明地与侵害群众利益的人做斗争；要敬畏纪律、敬畏制度，自觉接受廉政纪律约束，在接受群众监督的同时，也担当起监督他人的责任；要多深入贫困村，到贫困户家中，与贫困户多交流，收集第一手资料，针对贫困户致贫原因和自身条件，开展调查研究，努力为贫困群众找到一条切合实际的脱贫之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88" w:firstLineChars="200"/>
        <w:jc w:val="both"/>
        <w:textAlignment w:val="auto"/>
        <w:outlineLvl w:val="9"/>
        <w:rPr>
          <w:rFonts w:hint="eastAsia" w:ascii="仿宋_GB2312" w:eastAsia="仿宋_GB2312"/>
          <w:b w:val="0"/>
          <w:bCs/>
          <w:spacing w:val="12"/>
          <w:sz w:val="32"/>
          <w:szCs w:val="32"/>
          <w:lang w:val="zh-CN"/>
        </w:rPr>
      </w:pPr>
      <w:r>
        <w:rPr>
          <w:rFonts w:hint="eastAsia" w:ascii="仿宋_GB2312" w:eastAsia="仿宋_GB2312"/>
          <w:b w:val="0"/>
          <w:bCs/>
          <w:spacing w:val="12"/>
          <w:sz w:val="32"/>
          <w:szCs w:val="32"/>
          <w:lang w:val="zh-CN"/>
        </w:rPr>
        <w:t>今后，要始终把忠诚作为从政根本，切实做到对党忠诚、对人民忠诚、对组织忠诚，增强党员意识、政治意识、大局意识、核心意识、看齐意识，真正站在贫困群众的立场上想问题、办事情、做决策，严格按照党章和《中国共产党廉洁自律准则》要求，坚守廉政底线，严守纪律红线，干干净净做事、清清白白为官，全力做好自己的本职工作，为打赢河南脱贫攻坚战做应有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Arial Narrow">
    <w:altName w:val="Arial"/>
    <w:panose1 w:val="020B0606020202030204"/>
    <w:charset w:val="01"/>
    <w:family w:val="swiss"/>
    <w:pitch w:val="default"/>
    <w:sig w:usb0="00000000" w:usb1="00000000" w:usb2="00000000" w:usb3="00000000" w:csb0="2000009F" w:csb1="DFD7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微软简楷体">
    <w:altName w:val="宋体"/>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54B28"/>
    <w:rsid w:val="007A321F"/>
    <w:rsid w:val="008C78BA"/>
    <w:rsid w:val="00FD7283"/>
    <w:rsid w:val="03192F24"/>
    <w:rsid w:val="0A650683"/>
    <w:rsid w:val="0F4A1D85"/>
    <w:rsid w:val="11996200"/>
    <w:rsid w:val="3323581D"/>
    <w:rsid w:val="3E904E3F"/>
    <w:rsid w:val="59E060D2"/>
    <w:rsid w:val="7078546F"/>
    <w:rsid w:val="78854B28"/>
    <w:rsid w:val="7F64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2018-01-05T08:32:00Z</dcterms:created>
  <dc:creator>cnwht</dc:creator>
  <cp:lastModifiedBy>cnwht</cp:lastModifiedBy>
  <dcterms:modified xsi:type="dcterms:W3CDTF">2018-01-06T01:23:31Z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